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CF15" w14:textId="721CBF49" w:rsidR="00AB5A3D" w:rsidRPr="00277EA5" w:rsidRDefault="0089529C" w:rsidP="00236DDF">
      <w:pPr>
        <w:ind w:left="567" w:right="1701"/>
        <w:rPr>
          <w:sz w:val="28"/>
        </w:rPr>
      </w:pPr>
      <w:r w:rsidRPr="0089529C">
        <w:rPr>
          <w:sz w:val="28"/>
        </w:rPr>
        <w:t>Alerta en Galicia ante el reb</w:t>
      </w:r>
      <w:r>
        <w:rPr>
          <w:sz w:val="28"/>
        </w:rPr>
        <w:t xml:space="preserve">rote del sarampión en </w:t>
      </w:r>
      <w:r w:rsidR="00663ED7">
        <w:rPr>
          <w:sz w:val="28"/>
        </w:rPr>
        <w:t>el norte de Portugal</w:t>
      </w:r>
    </w:p>
    <w:p w14:paraId="5E17FB98" w14:textId="2DC48EDE" w:rsidR="0089529C" w:rsidRDefault="0089529C" w:rsidP="00236DDF">
      <w:pPr>
        <w:ind w:left="567" w:right="1701"/>
      </w:pPr>
      <w:r w:rsidRPr="0089529C">
        <w:t xml:space="preserve">La aparición de </w:t>
      </w:r>
      <w:r w:rsidR="00663ED7">
        <w:t>66</w:t>
      </w:r>
      <w:r w:rsidRPr="0089529C">
        <w:t xml:space="preserve"> casos </w:t>
      </w:r>
      <w:r w:rsidR="00663ED7">
        <w:t xml:space="preserve">confirmados </w:t>
      </w:r>
      <w:r w:rsidRPr="0089529C">
        <w:t xml:space="preserve">en el país vecino hace reaccionar a la Xunta, que insta a vacunarse a su personal sanitario y pide a la población que atienda a los síntomas. Hace </w:t>
      </w:r>
      <w:r w:rsidR="00663ED7">
        <w:t>seis</w:t>
      </w:r>
      <w:r w:rsidRPr="0089529C">
        <w:t xml:space="preserve"> meses la OMS declaró </w:t>
      </w:r>
      <w:r w:rsidR="00663ED7" w:rsidRPr="0089529C">
        <w:t xml:space="preserve">eliminada </w:t>
      </w:r>
      <w:r w:rsidRPr="0089529C">
        <w:t>la enfermedad de España</w:t>
      </w:r>
    </w:p>
    <w:p w14:paraId="3A5A2FC5" w14:textId="591BEA22" w:rsidR="00CD2F92" w:rsidRDefault="001F3C9D" w:rsidP="00236DDF">
      <w:pPr>
        <w:ind w:left="567" w:right="1701"/>
      </w:pPr>
      <w:r>
        <w:t>Pablo López, Vigo</w:t>
      </w:r>
    </w:p>
    <w:p w14:paraId="5F557A9F" w14:textId="2DB361F4" w:rsidR="0099193A" w:rsidRDefault="001A5498" w:rsidP="00AF0D9B">
      <w:pPr>
        <w:ind w:left="567" w:right="1701"/>
        <w:jc w:val="both"/>
      </w:pPr>
      <w:r>
        <w:t xml:space="preserve">Las enfermedades no </w:t>
      </w:r>
      <w:r w:rsidR="00E51D60">
        <w:t>conocen</w:t>
      </w:r>
      <w:r>
        <w:t xml:space="preserve"> fronteras</w:t>
      </w:r>
      <w:r w:rsidR="00E51D60">
        <w:t xml:space="preserve">. La aparición de decenas de casos de sarampión en Portugal ha puesto alerta a las autoridades sanitarias de Galicia, que no han tardado en instar a vacunarse al personal sanitario y en solicitar a la población general que permanezca atenta a la aparición de posibles síntomas. </w:t>
      </w:r>
      <w:r w:rsidR="0099193A">
        <w:t xml:space="preserve">Seis meses después de que la Organización Mundial de la Salud certificara la eliminación de la </w:t>
      </w:r>
      <w:r w:rsidR="00663ED7">
        <w:t>dolencia</w:t>
      </w:r>
      <w:r w:rsidR="0099193A">
        <w:t xml:space="preserve"> en España, la </w:t>
      </w:r>
      <w:r w:rsidR="00A957DB">
        <w:t xml:space="preserve">inquietud se desata </w:t>
      </w:r>
      <w:r w:rsidR="0099193A">
        <w:t xml:space="preserve">por la confirmación de un brote en el norte del país vecino, en el área de Oporto. La Dirección General de Salud portuguesa confirma </w:t>
      </w:r>
      <w:r w:rsidR="007A5F55">
        <w:t xml:space="preserve">66 casos, dentro de un total de </w:t>
      </w:r>
      <w:r w:rsidR="00CA4A4E">
        <w:t>sospechosos superior al centenar</w:t>
      </w:r>
      <w:r w:rsidR="0099193A">
        <w:t>.</w:t>
      </w:r>
    </w:p>
    <w:p w14:paraId="750633A0" w14:textId="3CC84AC5" w:rsidR="0099193A" w:rsidRDefault="00CA4A4E" w:rsidP="0099193A">
      <w:pPr>
        <w:ind w:left="567" w:right="1701"/>
        <w:jc w:val="both"/>
      </w:pPr>
      <w:r>
        <w:t>La situación en Portugal llevó al</w:t>
      </w:r>
      <w:r w:rsidR="0099193A">
        <w:t xml:space="preserve"> Servicio Galego de Saúde (Sergas) </w:t>
      </w:r>
      <w:r>
        <w:t>a ofrecer</w:t>
      </w:r>
      <w:r w:rsidR="0099193A">
        <w:t xml:space="preserve"> el pasado martes una edición adelantada de su </w:t>
      </w:r>
      <w:r w:rsidR="00EA1550">
        <w:rPr>
          <w:i/>
        </w:rPr>
        <w:t>Ve</w:t>
      </w:r>
      <w:r w:rsidR="0099193A" w:rsidRPr="0099193A">
        <w:rPr>
          <w:i/>
        </w:rPr>
        <w:t>n</w:t>
      </w:r>
      <w:r w:rsidR="00EA1550">
        <w:rPr>
          <w:i/>
        </w:rPr>
        <w:t>r</w:t>
      </w:r>
      <w:r w:rsidR="0099193A" w:rsidRPr="0099193A">
        <w:rPr>
          <w:i/>
        </w:rPr>
        <w:t>es epidem</w:t>
      </w:r>
      <w:r w:rsidR="00EA1550">
        <w:rPr>
          <w:i/>
        </w:rPr>
        <w:t>i</w:t>
      </w:r>
      <w:r w:rsidR="0099193A" w:rsidRPr="0099193A">
        <w:rPr>
          <w:i/>
        </w:rPr>
        <w:t>olóxico</w:t>
      </w:r>
      <w:r w:rsidR="0099193A">
        <w:t>, una publicación quincenal sobre el control de enfermedades. El boletín advierte que “la cercanía, la intensa relación interpersonal y la ma</w:t>
      </w:r>
      <w:r w:rsidR="007A5F55">
        <w:t>g</w:t>
      </w:r>
      <w:r w:rsidR="0099193A">
        <w:t xml:space="preserve">nitud del brote” </w:t>
      </w:r>
      <w:r>
        <w:t>al otro lado de la frontera</w:t>
      </w:r>
      <w:r w:rsidR="0099193A">
        <w:t xml:space="preserve"> supone un mayor riesgo de que en Galicia se puedan dar casos derivados. </w:t>
      </w:r>
      <w:r w:rsidR="0099193A">
        <w:t xml:space="preserve">La aparición de </w:t>
      </w:r>
      <w:r w:rsidR="007A5F55">
        <w:t>contagios de</w:t>
      </w:r>
      <w:r w:rsidR="0099193A">
        <w:t xml:space="preserve">  </w:t>
      </w:r>
      <w:r w:rsidR="0099193A">
        <w:t>sarampión</w:t>
      </w:r>
      <w:r w:rsidR="0099193A">
        <w:t xml:space="preserve"> entre el personal sanitario es algo habitual, ya que </w:t>
      </w:r>
      <w:r>
        <w:t xml:space="preserve">la dolencia </w:t>
      </w:r>
      <w:r w:rsidR="0099193A">
        <w:t xml:space="preserve">precisa </w:t>
      </w:r>
      <w:r w:rsidR="0099193A">
        <w:t xml:space="preserve">asistencia sanitaria y es fácil que esta demanda se produzca durante el período de transmisión del virus, que va desde los </w:t>
      </w:r>
      <w:r w:rsidR="0099193A">
        <w:t>cuatro</w:t>
      </w:r>
      <w:r w:rsidR="0099193A">
        <w:t xml:space="preserve"> días ante</w:t>
      </w:r>
      <w:r w:rsidR="0099193A">
        <w:t>riore</w:t>
      </w:r>
      <w:r w:rsidR="0099193A">
        <w:t xml:space="preserve">s </w:t>
      </w:r>
      <w:r w:rsidR="0099193A">
        <w:t>a</w:t>
      </w:r>
      <w:r w:rsidR="0099193A">
        <w:t xml:space="preserve"> la aparición </w:t>
      </w:r>
      <w:r w:rsidR="0099193A">
        <w:t xml:space="preserve">de los </w:t>
      </w:r>
      <w:r w:rsidR="00736EF8">
        <w:t>principales</w:t>
      </w:r>
      <w:r w:rsidR="0099193A">
        <w:t xml:space="preserve"> síntomas</w:t>
      </w:r>
      <w:r w:rsidR="0099193A">
        <w:t xml:space="preserve"> hasta los </w:t>
      </w:r>
      <w:r w:rsidR="0099193A">
        <w:t>cuatro</w:t>
      </w:r>
      <w:r w:rsidR="0099193A">
        <w:t xml:space="preserve"> días siguientes.</w:t>
      </w:r>
    </w:p>
    <w:p w14:paraId="57BAD155" w14:textId="25F743DC" w:rsidR="0099193A" w:rsidRDefault="0099193A" w:rsidP="0099193A">
      <w:pPr>
        <w:ind w:left="567" w:right="1701"/>
        <w:jc w:val="both"/>
      </w:pPr>
      <w:r>
        <w:t>E</w:t>
      </w:r>
      <w:r>
        <w:t xml:space="preserve">l riesgo de adquisición de la enfermedad por trabajadores </w:t>
      </w:r>
      <w:r w:rsidR="00736EF8">
        <w:t xml:space="preserve">susceptibles </w:t>
      </w:r>
      <w:r>
        <w:t>de los centros sanitarios es hasta 13 veces m</w:t>
      </w:r>
      <w:r w:rsidR="00856ED8">
        <w:t>ayor que en la población genera</w:t>
      </w:r>
      <w:r w:rsidR="00CA4A4E">
        <w:t>l</w:t>
      </w:r>
      <w:r>
        <w:t>,</w:t>
      </w:r>
      <w:r w:rsidR="00856ED8">
        <w:t xml:space="preserve"> por lo que el Sergas considera</w:t>
      </w:r>
      <w:r>
        <w:t xml:space="preserve"> </w:t>
      </w:r>
      <w:r w:rsidR="00856ED8">
        <w:t>“</w:t>
      </w:r>
      <w:r>
        <w:t>fu</w:t>
      </w:r>
      <w:r w:rsidR="00856ED8">
        <w:t xml:space="preserve">ndamental” </w:t>
      </w:r>
      <w:r>
        <w:t xml:space="preserve">que los trabajadores estén inmunizados. Para </w:t>
      </w:r>
      <w:r w:rsidR="00856ED8">
        <w:t>lograrlo</w:t>
      </w:r>
      <w:r>
        <w:t>, todos los</w:t>
      </w:r>
      <w:r w:rsidR="00856ED8">
        <w:t xml:space="preserve"> </w:t>
      </w:r>
      <w:r>
        <w:t xml:space="preserve">sanitarios </w:t>
      </w:r>
      <w:r w:rsidR="00736EF8">
        <w:t>de Galicia que puedan resultar contagiados</w:t>
      </w:r>
      <w:r w:rsidR="00CA4A4E">
        <w:t xml:space="preserve"> </w:t>
      </w:r>
      <w:r w:rsidR="00736EF8">
        <w:t>–es</w:t>
      </w:r>
      <w:r w:rsidR="00856ED8">
        <w:t xml:space="preserve"> decir, los nacidos </w:t>
      </w:r>
      <w:r>
        <w:t xml:space="preserve">después de 1967 </w:t>
      </w:r>
      <w:r w:rsidR="00856ED8">
        <w:t>que no recibieron</w:t>
      </w:r>
      <w:r w:rsidR="00CA4A4E">
        <w:t xml:space="preserve"> dos dosis de triple</w:t>
      </w:r>
      <w:r>
        <w:t xml:space="preserve"> vírica</w:t>
      </w:r>
      <w:r w:rsidR="00736EF8">
        <w:t xml:space="preserve"> ni pasaron la enfermedad</w:t>
      </w:r>
      <w:r w:rsidR="00736EF8">
        <w:t>–</w:t>
      </w:r>
      <w:r w:rsidR="00CA4A4E">
        <w:t>,</w:t>
      </w:r>
      <w:r>
        <w:t xml:space="preserve"> </w:t>
      </w:r>
      <w:r w:rsidR="00736EF8">
        <w:t>se deben vacunar</w:t>
      </w:r>
      <w:r w:rsidR="00856ED8">
        <w:t xml:space="preserve"> ahora. Y aquell</w:t>
      </w:r>
      <w:r w:rsidR="00736EF8">
        <w:t>o</w:t>
      </w:r>
      <w:r w:rsidR="00856ED8">
        <w:t xml:space="preserve">s </w:t>
      </w:r>
      <w:r>
        <w:t xml:space="preserve">que ya recibieron una </w:t>
      </w:r>
      <w:r w:rsidR="00856ED8">
        <w:t xml:space="preserve">deben administrarse otra adicional. Se recuerda además que </w:t>
      </w:r>
      <w:r>
        <w:t>las mujeres en edad fértil deben evitar el embarazo en el mes siguiente a la recepción de la vacuna.</w:t>
      </w:r>
    </w:p>
    <w:p w14:paraId="2EFFDDDD" w14:textId="11E9665A" w:rsidR="00753FD4" w:rsidRDefault="00753FD4" w:rsidP="00753FD4">
      <w:pPr>
        <w:ind w:left="567" w:right="1701"/>
        <w:jc w:val="both"/>
      </w:pPr>
      <w:r>
        <w:t xml:space="preserve">El boletín de las autoridades sanitarias de Galicia centra su atención </w:t>
      </w:r>
      <w:r w:rsidR="00CA4A4E">
        <w:t>en e</w:t>
      </w:r>
      <w:r>
        <w:t>l personal que trabaja en la atención a pacientes, como médicos, enfermeros e incluso el pe</w:t>
      </w:r>
      <w:r w:rsidR="00CA4A4E">
        <w:t xml:space="preserve">rsonal de hospitales, ya que </w:t>
      </w:r>
      <w:r>
        <w:t xml:space="preserve">presenta </w:t>
      </w:r>
      <w:r>
        <w:lastRenderedPageBreak/>
        <w:t>“mayor riesgo de enfermar que la población general”. Pero recuerda en todo caso que los contagios no se limitan a ese grupo de la población, por lo que recomienda “</w:t>
      </w:r>
      <w:r w:rsidR="00736EF8">
        <w:t xml:space="preserve">estar atento </w:t>
      </w:r>
      <w:r>
        <w:t xml:space="preserve">a cualquier enfermo que se presente en la consulta” </w:t>
      </w:r>
      <w:r w:rsidR="00736EF8">
        <w:t>con e</w:t>
      </w:r>
      <w:r>
        <w:t>l cuadro clínico que habitualmente acompaña al saram</w:t>
      </w:r>
      <w:r w:rsidR="007A5F55">
        <w:t>p</w:t>
      </w:r>
      <w:r w:rsidR="00CA4A4E">
        <w:t>ión. Es decir:</w:t>
      </w:r>
      <w:r>
        <w:t xml:space="preserve"> una fiebre igual o superior a 38 grados,  </w:t>
      </w:r>
      <w:r w:rsidR="00637B2B">
        <w:t>exantema</w:t>
      </w:r>
      <w:r w:rsidR="00637B2B" w:rsidRPr="00637B2B">
        <w:t xml:space="preserve"> </w:t>
      </w:r>
      <w:r w:rsidR="00637B2B">
        <w:t>–</w:t>
      </w:r>
      <w:r w:rsidR="00637B2B" w:rsidRPr="00637B2B">
        <w:t>erupción de la piel de color rojizo</w:t>
      </w:r>
      <w:r w:rsidR="00637B2B">
        <w:t>–</w:t>
      </w:r>
      <w:r w:rsidR="00637B2B">
        <w:t>,</w:t>
      </w:r>
      <w:r w:rsidR="00637B2B" w:rsidRPr="00637B2B">
        <w:t xml:space="preserve"> tos, conjuntivitis</w:t>
      </w:r>
      <w:r w:rsidR="00637B2B">
        <w:t>,</w:t>
      </w:r>
      <w:r w:rsidR="00637B2B" w:rsidRPr="00637B2B">
        <w:t xml:space="preserve"> </w:t>
      </w:r>
      <w:r w:rsidR="00637B2B">
        <w:t>bronquitis</w:t>
      </w:r>
      <w:r w:rsidR="00637B2B" w:rsidRPr="00637B2B">
        <w:t xml:space="preserve"> o inflamación de la mucosa de las fosas nasales</w:t>
      </w:r>
      <w:r>
        <w:t>. “Este cuadro clínico deber hacer sospechar en sarampión y, por lo tanto</w:t>
      </w:r>
      <w:r w:rsidR="00736EF8">
        <w:t>,</w:t>
      </w:r>
      <w:r w:rsidR="00637B2B">
        <w:t xml:space="preserve"> </w:t>
      </w:r>
      <w:r>
        <w:t>se ha de notificar la sospecha de manera urgente al Sistema de  Alerta Epidemiológica de Galicia</w:t>
      </w:r>
      <w:r w:rsidR="00CA4A4E">
        <w:t>”, reclama el Sergas</w:t>
      </w:r>
      <w:r>
        <w:t>.</w:t>
      </w:r>
    </w:p>
    <w:p w14:paraId="1F086F87" w14:textId="6F3303A8" w:rsidR="00EA1550" w:rsidRDefault="00EA1550" w:rsidP="00753FD4">
      <w:pPr>
        <w:ind w:left="567" w:right="1701"/>
        <w:jc w:val="both"/>
      </w:pPr>
      <w:r>
        <w:t xml:space="preserve">La Consellería de </w:t>
      </w:r>
      <w:r w:rsidRPr="00EA1550">
        <w:t xml:space="preserve">Sanidade </w:t>
      </w:r>
      <w:r>
        <w:t>no tiene constancia desde hace muchos años de la aparición en Galicia de</w:t>
      </w:r>
      <w:r w:rsidRPr="00EA1550">
        <w:t xml:space="preserve"> ningún caso endémico</w:t>
      </w:r>
      <w:r>
        <w:t xml:space="preserve">. Entre 2006 y </w:t>
      </w:r>
      <w:r w:rsidRPr="00EA1550">
        <w:t xml:space="preserve">2015 se declararon en la comunidad </w:t>
      </w:r>
      <w:r>
        <w:t>un total de 11 casos</w:t>
      </w:r>
      <w:r w:rsidRPr="00EA1550">
        <w:t xml:space="preserve"> </w:t>
      </w:r>
      <w:r>
        <w:t>de el sarampión, pero todos ellos fueron adquiridos fuera de Galicia y sin dejar constancia de contagio alguno entre la población local.</w:t>
      </w:r>
    </w:p>
    <w:p w14:paraId="6ABBFA92" w14:textId="3FEF491D" w:rsidR="00274822" w:rsidRDefault="00753FD4" w:rsidP="007A5F55">
      <w:pPr>
        <w:ind w:left="567" w:right="1701"/>
        <w:jc w:val="both"/>
      </w:pPr>
      <w:r>
        <w:t>Tal y como señala la Xunta, en el caso de Portugal l</w:t>
      </w:r>
      <w:r w:rsidRPr="0099193A">
        <w:t xml:space="preserve">a mayoría de los enfermos </w:t>
      </w:r>
      <w:r>
        <w:t>son</w:t>
      </w:r>
      <w:r w:rsidRPr="0099193A">
        <w:t xml:space="preserve"> personal sanitario, sobre todo </w:t>
      </w:r>
      <w:r>
        <w:t>d</w:t>
      </w:r>
      <w:r w:rsidRPr="0099193A">
        <w:t>el Hospital de Santo  António</w:t>
      </w:r>
      <w:r w:rsidR="007A5F55">
        <w:t xml:space="preserve"> de Oporto</w:t>
      </w:r>
      <w:r w:rsidRPr="0099193A">
        <w:t xml:space="preserve">. </w:t>
      </w:r>
      <w:r w:rsidR="007A5F55">
        <w:t xml:space="preserve">En concreto, las últimas informaciones de las autoridades del país vecino cifraban en un 88% la incidencia entre este tipo de trabajadores. Ninguno de los casos reviste gravedad, y 11 de los 66 confirmados ya están curados. Otras </w:t>
      </w:r>
      <w:r w:rsidR="007A5F55">
        <w:t xml:space="preserve">37 personas con síntomas similares </w:t>
      </w:r>
      <w:r w:rsidR="007A5F55">
        <w:t>todavía están siendo analizad</w:t>
      </w:r>
      <w:r w:rsidR="00736EF8">
        <w:t>a</w:t>
      </w:r>
      <w:r w:rsidR="007A5F55">
        <w:t>s y</w:t>
      </w:r>
      <w:r w:rsidR="007A5F55">
        <w:t xml:space="preserve"> a la espera de diagnóstico, mientras que 94 sospechosos </w:t>
      </w:r>
      <w:r w:rsidR="007A5F55">
        <w:t xml:space="preserve">iniciales </w:t>
      </w:r>
      <w:r w:rsidR="007A5F55">
        <w:t>resultaron negativos.</w:t>
      </w:r>
    </w:p>
    <w:p w14:paraId="32745A2F" w14:textId="4888B4D1" w:rsidR="004B1B74" w:rsidRDefault="007A5F55" w:rsidP="007A5F55">
      <w:pPr>
        <w:ind w:left="567" w:right="1701"/>
        <w:jc w:val="both"/>
      </w:pPr>
      <w:r>
        <w:t xml:space="preserve">Todos los afectados </w:t>
      </w:r>
      <w:r>
        <w:t xml:space="preserve">en Portugal </w:t>
      </w:r>
      <w:r>
        <w:t xml:space="preserve">son adultos, la gran mayoría de entre 20 y 34 años, y dos de ellos permanecen hospitalizados con situación clínica </w:t>
      </w:r>
      <w:r>
        <w:t>“</w:t>
      </w:r>
      <w:r>
        <w:t>estable</w:t>
      </w:r>
      <w:r>
        <w:t>”</w:t>
      </w:r>
      <w:r>
        <w:t>.</w:t>
      </w:r>
      <w:r w:rsidR="004B1B74">
        <w:t xml:space="preserve"> </w:t>
      </w:r>
      <w:r w:rsidR="003F42ED">
        <w:t>Se trata d</w:t>
      </w:r>
      <w:r>
        <w:t>el tercer brote de sarampión registrado en el último año en Portugal, donde fue dado como erradicado en 2016 tras varios ejercicios sin registrar ningún caso.</w:t>
      </w:r>
      <w:r w:rsidR="003F42ED">
        <w:t xml:space="preserve"> </w:t>
      </w:r>
      <w:r>
        <w:t>Sin embargo, en 2017 volvieron a detectarse más de una veintena de enfermos, de los cuales uno acabó falleciendo.</w:t>
      </w:r>
    </w:p>
    <w:p w14:paraId="35667E93" w14:textId="3246C64D" w:rsidR="00637B2B" w:rsidRDefault="004B1B74" w:rsidP="00637B2B">
      <w:pPr>
        <w:ind w:left="567" w:right="1701"/>
        <w:jc w:val="both"/>
      </w:pPr>
      <w:r>
        <w:t>Las autoridades sanitarias lusas</w:t>
      </w:r>
      <w:r w:rsidR="007A5F55">
        <w:t xml:space="preserve"> </w:t>
      </w:r>
      <w:r w:rsidR="00CA4A4E">
        <w:t>han hecho hincapié en</w:t>
      </w:r>
      <w:r w:rsidR="007A5F55">
        <w:t xml:space="preserve"> que en la actualidad se han dado brotes de sarampión en algunos países europeos debido a la existencia de comunidades </w:t>
      </w:r>
      <w:r w:rsidR="00CA4A4E">
        <w:t>de</w:t>
      </w:r>
      <w:r w:rsidR="007A5F55">
        <w:t xml:space="preserve"> </w:t>
      </w:r>
      <w:r w:rsidR="00637B2B">
        <w:t xml:space="preserve">personas que no hacen uso de las vacunas. Porque la reaparición del sarampión </w:t>
      </w:r>
      <w:r w:rsidR="00CA4A4E">
        <w:t>se atribuye fundamentalmente a los movimientos</w:t>
      </w:r>
      <w:r w:rsidR="00637B2B">
        <w:t xml:space="preserve"> los antivacunas, </w:t>
      </w:r>
      <w:r w:rsidR="00CA4A4E">
        <w:t>que se resisten a administrárselas</w:t>
      </w:r>
      <w:r w:rsidR="00EC1317">
        <w:t xml:space="preserve"> por la falsa creencia de que están relacionadas con el autismo</w:t>
      </w:r>
      <w:r w:rsidR="00637B2B">
        <w:t xml:space="preserve">. </w:t>
      </w:r>
      <w:r w:rsidR="00CA4A4E">
        <w:t>Un caso paradigmático es el conjunto de</w:t>
      </w:r>
      <w:r w:rsidR="00637B2B">
        <w:t xml:space="preserve"> Europa</w:t>
      </w:r>
      <w:r w:rsidR="00CA4A4E">
        <w:t xml:space="preserve">, con una </w:t>
      </w:r>
      <w:r w:rsidR="00637B2B">
        <w:t xml:space="preserve">cobertura de vacunación inferior a la óptima en muchos países de la </w:t>
      </w:r>
      <w:r w:rsidR="00CA4A4E">
        <w:t>UE</w:t>
      </w:r>
      <w:r w:rsidR="00637B2B">
        <w:t>. D</w:t>
      </w:r>
      <w:r w:rsidR="00637B2B">
        <w:t xml:space="preserve">e todos los casos de sarampión declarados con estado de vacunación conocido, el  </w:t>
      </w:r>
      <w:r w:rsidR="00EC1317">
        <w:t xml:space="preserve">87% </w:t>
      </w:r>
      <w:r w:rsidR="00637B2B">
        <w:t>correspond</w:t>
      </w:r>
      <w:r w:rsidR="00EC1317">
        <w:t>e</w:t>
      </w:r>
      <w:r w:rsidR="00637B2B">
        <w:t xml:space="preserve"> a individuos no vacunados.</w:t>
      </w:r>
    </w:p>
    <w:p w14:paraId="5F772BE7" w14:textId="7D79EE2E" w:rsidR="00637B2B" w:rsidRDefault="00637B2B" w:rsidP="00EA1550">
      <w:pPr>
        <w:ind w:left="567" w:right="1701"/>
        <w:jc w:val="both"/>
      </w:pPr>
      <w:r>
        <w:lastRenderedPageBreak/>
        <w:t xml:space="preserve">Según datos de la OMS, </w:t>
      </w:r>
      <w:r>
        <w:t xml:space="preserve">Europa registró 21.315 casos de sarampión </w:t>
      </w:r>
      <w:r>
        <w:t>–un</w:t>
      </w:r>
      <w:r>
        <w:t xml:space="preserve"> total de 35 </w:t>
      </w:r>
      <w:r>
        <w:t xml:space="preserve">de ellos con resultado de </w:t>
      </w:r>
      <w:r>
        <w:t>muerte</w:t>
      </w:r>
      <w:r w:rsidR="00EA1550">
        <w:t>–</w:t>
      </w:r>
      <w:r w:rsidRPr="00637B2B">
        <w:t xml:space="preserve"> </w:t>
      </w:r>
      <w:r>
        <w:t>en 2017</w:t>
      </w:r>
      <w:r>
        <w:t>, frente</w:t>
      </w:r>
      <w:r>
        <w:t xml:space="preserve"> </w:t>
      </w:r>
      <w:r w:rsidR="00EA1550">
        <w:t xml:space="preserve">a los </w:t>
      </w:r>
      <w:r>
        <w:t>5.273 casos</w:t>
      </w:r>
      <w:r w:rsidR="00274822">
        <w:t xml:space="preserve"> del año anterior</w:t>
      </w:r>
      <w:r>
        <w:t xml:space="preserve">, </w:t>
      </w:r>
      <w:r w:rsidR="00EA1550">
        <w:t>lo que significa un incremento del</w:t>
      </w:r>
      <w:r>
        <w:t xml:space="preserve"> 400%.</w:t>
      </w:r>
      <w:r w:rsidR="00EA1550">
        <w:t xml:space="preserve"> “E</w:t>
      </w:r>
      <w:r w:rsidR="00EA1550" w:rsidRPr="00EA1550">
        <w:t>s una tragedia que simplemente no podemos aceptar</w:t>
      </w:r>
      <w:r w:rsidR="00EA1550">
        <w:t>”</w:t>
      </w:r>
      <w:r w:rsidR="00EA1550" w:rsidRPr="00EA1550">
        <w:t>, señal</w:t>
      </w:r>
      <w:r w:rsidR="00EA1550">
        <w:t>ó la</w:t>
      </w:r>
      <w:r w:rsidR="00EA1550" w:rsidRPr="00EA1550">
        <w:t xml:space="preserve"> Zsuzsanna Jakab, directora </w:t>
      </w:r>
      <w:r w:rsidR="00EA1550" w:rsidRPr="00EA1550">
        <w:t xml:space="preserve">para Europa </w:t>
      </w:r>
      <w:r w:rsidR="00EA1550">
        <w:t>del organismo de la ONU</w:t>
      </w:r>
      <w:r w:rsidR="00EA1550" w:rsidRPr="00EA1550">
        <w:t xml:space="preserve"> en un comunicado.</w:t>
      </w:r>
      <w:r w:rsidR="00EA1550">
        <w:t xml:space="preserve"> </w:t>
      </w:r>
      <w:r w:rsidR="00EA1550">
        <w:t xml:space="preserve">La enfermedad estaba destinada a ser erradicada de todo el mundo gracias a la eficacia de la vacuna triple viral, que se administra en niños con un año de edad para combatir sarampión, </w:t>
      </w:r>
      <w:bookmarkStart w:id="0" w:name="_GoBack"/>
      <w:bookmarkEnd w:id="0"/>
      <w:r w:rsidR="00EA1550">
        <w:t>rub</w:t>
      </w:r>
      <w:r w:rsidR="00736EF8">
        <w:t>é</w:t>
      </w:r>
      <w:r w:rsidR="00EA1550">
        <w:t xml:space="preserve">ola y </w:t>
      </w:r>
      <w:r w:rsidR="00736EF8">
        <w:t>parotiditis</w:t>
      </w:r>
      <w:r w:rsidR="00EA1550">
        <w:t xml:space="preserve">. </w:t>
      </w:r>
      <w:r w:rsidR="00EA1550">
        <w:t>Pero</w:t>
      </w:r>
      <w:r w:rsidR="00EA1550">
        <w:t xml:space="preserve"> las campañas anticiencia emprendidas por los colectivos </w:t>
      </w:r>
      <w:r w:rsidR="00EC1317">
        <w:t>contrarios a las vacunas</w:t>
      </w:r>
      <w:r w:rsidR="00EA1550">
        <w:t xml:space="preserve"> </w:t>
      </w:r>
      <w:r w:rsidR="00EC1317">
        <w:t>han provocado su reaparición.</w:t>
      </w:r>
    </w:p>
    <w:p w14:paraId="4D9FDE73" w14:textId="0DA88B4B" w:rsidR="00277EA5" w:rsidRDefault="00FD6A12" w:rsidP="00EA1550">
      <w:pPr>
        <w:ind w:left="567" w:right="1701"/>
        <w:jc w:val="both"/>
      </w:pPr>
      <w:r w:rsidRPr="00FD6A12">
        <w:t xml:space="preserve">De acuerdo con la </w:t>
      </w:r>
      <w:r>
        <w:t>OMS</w:t>
      </w:r>
      <w:r w:rsidRPr="00FD6A12">
        <w:t>, el sarampión es la primera causa de muerte infantil prevenible por vacunación.</w:t>
      </w:r>
      <w:r>
        <w:t xml:space="preserve"> Se trata de </w:t>
      </w:r>
      <w:r w:rsidR="00EA1550" w:rsidRPr="00FD6A12">
        <w:t xml:space="preserve">una enfermedad muy contagiosa que se transmite </w:t>
      </w:r>
      <w:r>
        <w:t xml:space="preserve">de diversas formas, como </w:t>
      </w:r>
      <w:r w:rsidR="00EA1550" w:rsidRPr="00FD6A12">
        <w:t>a través de la tos, los estornudos</w:t>
      </w:r>
      <w:r>
        <w:t xml:space="preserve"> o</w:t>
      </w:r>
      <w:r w:rsidR="00EA1550" w:rsidRPr="00FD6A12">
        <w:t xml:space="preserve"> por contacto físico</w:t>
      </w:r>
      <w:r>
        <w:t>. C</w:t>
      </w:r>
      <w:r w:rsidR="00EA1550" w:rsidRPr="00FD6A12">
        <w:t xml:space="preserve">omienza con síntomas similares a los de la gripe </w:t>
      </w:r>
      <w:r w:rsidR="00403807">
        <w:t>para desarrollar despu</w:t>
      </w:r>
      <w:r>
        <w:t xml:space="preserve">és </w:t>
      </w:r>
      <w:r w:rsidR="00BA73D4">
        <w:t>la</w:t>
      </w:r>
      <w:r w:rsidR="00BA73D4" w:rsidRPr="00FD6A12">
        <w:t xml:space="preserve"> característica</w:t>
      </w:r>
      <w:r w:rsidR="00EA1550" w:rsidRPr="00FD6A12">
        <w:t xml:space="preserve"> erupción cutánea. La infección deprime en gran medida el sistema inmunitario, por lo que en muchos casos </w:t>
      </w:r>
      <w:r>
        <w:t>está asociada a otras</w:t>
      </w:r>
      <w:r w:rsidR="00EA1550" w:rsidRPr="00FD6A12">
        <w:t xml:space="preserve"> infeccione</w:t>
      </w:r>
      <w:r w:rsidR="00A04591">
        <w:t>s.</w:t>
      </w:r>
    </w:p>
    <w:p w14:paraId="5E6C2A67" w14:textId="40D5D37F" w:rsidR="00A04591" w:rsidRPr="00A04591" w:rsidRDefault="00A04591" w:rsidP="00A04591">
      <w:pPr>
        <w:ind w:left="567" w:right="1701"/>
        <w:jc w:val="both"/>
      </w:pPr>
      <w:r>
        <w:t>La cobertura en Galicia de la la vacuna triple vírica es</w:t>
      </w:r>
      <w:r w:rsidRPr="00A04591">
        <w:t xml:space="preserve"> </w:t>
      </w:r>
      <w:r w:rsidR="00403807">
        <w:t>“</w:t>
      </w:r>
      <w:r w:rsidRPr="00A04591">
        <w:t>muy alta y existe poco riesgo de que exista un brote en Galicia</w:t>
      </w:r>
      <w:r w:rsidR="00403807">
        <w:t>”, según el Sergas, con</w:t>
      </w:r>
      <w:r w:rsidR="00403807" w:rsidRPr="00A04591">
        <w:t xml:space="preserve"> tasas llegan al 97,8% en primovacunación y al 92,3% en el refuerzo de los 3 años</w:t>
      </w:r>
      <w:r w:rsidR="00403807">
        <w:t>. Son</w:t>
      </w:r>
      <w:r w:rsidR="00403807" w:rsidRPr="00A04591">
        <w:t xml:space="preserve"> cifras que</w:t>
      </w:r>
      <w:r w:rsidR="00403807">
        <w:t xml:space="preserve"> aportan “mucha</w:t>
      </w:r>
      <w:r w:rsidR="00403807" w:rsidRPr="00A04591">
        <w:t xml:space="preserve"> tranquilidad</w:t>
      </w:r>
      <w:r w:rsidR="00403807">
        <w:t>”</w:t>
      </w:r>
      <w:r w:rsidR="00EC1317">
        <w:t>, pe</w:t>
      </w:r>
      <w:r w:rsidR="00403807">
        <w:t>r</w:t>
      </w:r>
      <w:r w:rsidR="00EC1317">
        <w:t>o</w:t>
      </w:r>
      <w:r w:rsidR="00403807">
        <w:t xml:space="preserve"> que no significan que el sarampión no pueda llegar “importado </w:t>
      </w:r>
      <w:r w:rsidRPr="00A04591">
        <w:t>de otros países</w:t>
      </w:r>
      <w:r w:rsidR="00403807">
        <w:t>”</w:t>
      </w:r>
      <w:r w:rsidRPr="00A04591">
        <w:t xml:space="preserve">. Este </w:t>
      </w:r>
      <w:r w:rsidR="00403807">
        <w:t>mismo mes, la consellería</w:t>
      </w:r>
      <w:r w:rsidRPr="00A04591">
        <w:t xml:space="preserve"> anunciaba que las vacunas de la triple vírica y de la varicela se pondrían en un solo pinchazo a los 3 años y confiaba en lograr así una </w:t>
      </w:r>
      <w:r w:rsidR="00403807">
        <w:t>“</w:t>
      </w:r>
      <w:r w:rsidRPr="00A04591">
        <w:t>mayor adherencia al programa</w:t>
      </w:r>
      <w:r w:rsidR="00403807">
        <w:t xml:space="preserve">”, ya que </w:t>
      </w:r>
      <w:r w:rsidRPr="00A04591">
        <w:t xml:space="preserve">la cobertura con la segunda dosis </w:t>
      </w:r>
      <w:r w:rsidR="00403807">
        <w:t>“</w:t>
      </w:r>
      <w:r w:rsidRPr="00A04591">
        <w:t>"es algo m</w:t>
      </w:r>
      <w:r w:rsidR="00403807">
        <w:t>enor de la deseada”</w:t>
      </w:r>
      <w:r w:rsidRPr="00A04591">
        <w:t>.</w:t>
      </w:r>
    </w:p>
    <w:sectPr w:rsidR="00A04591" w:rsidRPr="00A04591" w:rsidSect="00191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CD"/>
    <w:rsid w:val="000377E0"/>
    <w:rsid w:val="0004156F"/>
    <w:rsid w:val="00054165"/>
    <w:rsid w:val="000D5450"/>
    <w:rsid w:val="000F4798"/>
    <w:rsid w:val="001301E6"/>
    <w:rsid w:val="001633A2"/>
    <w:rsid w:val="001776DE"/>
    <w:rsid w:val="001821E5"/>
    <w:rsid w:val="00191993"/>
    <w:rsid w:val="0019542F"/>
    <w:rsid w:val="001A5498"/>
    <w:rsid w:val="001B3477"/>
    <w:rsid w:val="001F3C9D"/>
    <w:rsid w:val="00236DDF"/>
    <w:rsid w:val="0026486A"/>
    <w:rsid w:val="00274822"/>
    <w:rsid w:val="00277EA5"/>
    <w:rsid w:val="0029588C"/>
    <w:rsid w:val="003A768E"/>
    <w:rsid w:val="003D20CF"/>
    <w:rsid w:val="003F42ED"/>
    <w:rsid w:val="00403758"/>
    <w:rsid w:val="00403807"/>
    <w:rsid w:val="004A5ECE"/>
    <w:rsid w:val="004B1B74"/>
    <w:rsid w:val="004D3535"/>
    <w:rsid w:val="004E36A0"/>
    <w:rsid w:val="004F5138"/>
    <w:rsid w:val="00513E4F"/>
    <w:rsid w:val="00601CF6"/>
    <w:rsid w:val="006025BA"/>
    <w:rsid w:val="00637B2B"/>
    <w:rsid w:val="00655CFD"/>
    <w:rsid w:val="00663ED7"/>
    <w:rsid w:val="006A42CC"/>
    <w:rsid w:val="006C1FC2"/>
    <w:rsid w:val="00736EF8"/>
    <w:rsid w:val="00753FD4"/>
    <w:rsid w:val="00757C58"/>
    <w:rsid w:val="00786A3B"/>
    <w:rsid w:val="007A5F55"/>
    <w:rsid w:val="007B1DC2"/>
    <w:rsid w:val="007C0798"/>
    <w:rsid w:val="00856ED8"/>
    <w:rsid w:val="00857BD9"/>
    <w:rsid w:val="0089529C"/>
    <w:rsid w:val="008A1F3D"/>
    <w:rsid w:val="008A4E3F"/>
    <w:rsid w:val="008C04CD"/>
    <w:rsid w:val="008C2E39"/>
    <w:rsid w:val="008C4F0E"/>
    <w:rsid w:val="008D4C73"/>
    <w:rsid w:val="00905257"/>
    <w:rsid w:val="009319F0"/>
    <w:rsid w:val="00957F4B"/>
    <w:rsid w:val="0096283A"/>
    <w:rsid w:val="0099193A"/>
    <w:rsid w:val="009A396D"/>
    <w:rsid w:val="009C4F73"/>
    <w:rsid w:val="009D0424"/>
    <w:rsid w:val="009D22EF"/>
    <w:rsid w:val="00A04591"/>
    <w:rsid w:val="00A11159"/>
    <w:rsid w:val="00A61013"/>
    <w:rsid w:val="00A957DB"/>
    <w:rsid w:val="00AF0D9B"/>
    <w:rsid w:val="00B051CD"/>
    <w:rsid w:val="00B37F26"/>
    <w:rsid w:val="00B740F5"/>
    <w:rsid w:val="00B75C41"/>
    <w:rsid w:val="00BA73D4"/>
    <w:rsid w:val="00BC24EF"/>
    <w:rsid w:val="00C36025"/>
    <w:rsid w:val="00C600FD"/>
    <w:rsid w:val="00C71A8A"/>
    <w:rsid w:val="00C91F94"/>
    <w:rsid w:val="00CA4A4E"/>
    <w:rsid w:val="00CD2F92"/>
    <w:rsid w:val="00CE4370"/>
    <w:rsid w:val="00D274D1"/>
    <w:rsid w:val="00D72A30"/>
    <w:rsid w:val="00D80225"/>
    <w:rsid w:val="00D8734A"/>
    <w:rsid w:val="00DA2691"/>
    <w:rsid w:val="00E44A62"/>
    <w:rsid w:val="00E51D60"/>
    <w:rsid w:val="00E57961"/>
    <w:rsid w:val="00E75F21"/>
    <w:rsid w:val="00EA1550"/>
    <w:rsid w:val="00EB1EB1"/>
    <w:rsid w:val="00EC1317"/>
    <w:rsid w:val="00F165D6"/>
    <w:rsid w:val="00F271D9"/>
    <w:rsid w:val="00F5015B"/>
    <w:rsid w:val="00F57451"/>
    <w:rsid w:val="00FD6A12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A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71A8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7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35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1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251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Sarampión 22-3-18.docx</Template>
  <TotalTime>88</TotalTime>
  <Pages>3</Pages>
  <Words>1167</Words>
  <Characters>5831</Characters>
  <Application>Microsoft Macintosh Word</Application>
  <DocSecurity>0</DocSecurity>
  <Lines>113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Usuario de Microsoft Office</cp:lastModifiedBy>
  <cp:revision>17</cp:revision>
  <cp:lastPrinted>2018-03-22T18:29:00Z</cp:lastPrinted>
  <dcterms:created xsi:type="dcterms:W3CDTF">2018-03-22T16:06:00Z</dcterms:created>
  <dcterms:modified xsi:type="dcterms:W3CDTF">2018-03-22T18:49:00Z</dcterms:modified>
</cp:coreProperties>
</file>